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B6718" w14:textId="098864F5" w:rsidR="00AF231A" w:rsidRPr="00AF231A" w:rsidRDefault="00AF231A" w:rsidP="00AF231A">
      <w:pPr>
        <w:rPr>
          <w:rFonts w:ascii="Century Gothic" w:hAnsi="Century Gothic"/>
          <w:color w:val="002060"/>
          <w:sz w:val="36"/>
          <w:szCs w:val="36"/>
        </w:rPr>
      </w:pPr>
      <w:r w:rsidRPr="00AF231A">
        <w:rPr>
          <w:rFonts w:ascii="Century Gothic" w:hAnsi="Century Gothic"/>
          <w:color w:val="002060"/>
          <w:sz w:val="36"/>
          <w:szCs w:val="36"/>
        </w:rPr>
        <w:t xml:space="preserve">NABO </w:t>
      </w:r>
      <w:r w:rsidR="000877C0">
        <w:rPr>
          <w:rFonts w:ascii="Century Gothic" w:hAnsi="Century Gothic"/>
          <w:color w:val="002060"/>
          <w:sz w:val="36"/>
          <w:szCs w:val="36"/>
        </w:rPr>
        <w:t xml:space="preserve">KENYAN </w:t>
      </w:r>
      <w:r w:rsidRPr="00AF231A">
        <w:rPr>
          <w:rFonts w:ascii="Century Gothic" w:hAnsi="Century Gothic"/>
          <w:color w:val="002060"/>
          <w:sz w:val="36"/>
          <w:szCs w:val="36"/>
        </w:rPr>
        <w:t>MARKETS MONTHLY</w:t>
      </w:r>
      <w:r w:rsidR="00A842FA">
        <w:rPr>
          <w:rFonts w:ascii="Century Gothic" w:hAnsi="Century Gothic"/>
          <w:color w:val="002060"/>
          <w:sz w:val="36"/>
          <w:szCs w:val="36"/>
        </w:rPr>
        <w:t xml:space="preserve"> NOTE</w:t>
      </w:r>
      <w:r w:rsidRPr="00AF231A">
        <w:rPr>
          <w:rFonts w:ascii="Century Gothic" w:hAnsi="Century Gothic"/>
          <w:color w:val="002060"/>
          <w:sz w:val="36"/>
          <w:szCs w:val="36"/>
        </w:rPr>
        <w:t>: SIGNALS IN THE SUMMER NOISE</w:t>
      </w:r>
    </w:p>
    <w:p w14:paraId="1D68BDAB" w14:textId="77777777" w:rsidR="00AF231A" w:rsidRDefault="00AF231A" w:rsidP="00AF231A"/>
    <w:p w14:paraId="19B3A264" w14:textId="0CC47297" w:rsidR="00AF231A" w:rsidRDefault="00AF231A" w:rsidP="00AF231A">
      <w:r>
        <w:t>August 2025 Note</w:t>
      </w:r>
    </w:p>
    <w:p w14:paraId="08D03CE3" w14:textId="53B6D81D" w:rsidR="00AF231A" w:rsidRDefault="00CD2BCC" w:rsidP="00AF231A">
      <w:proofErr w:type="spellStart"/>
      <w:r>
        <w:t>Teddey</w:t>
      </w:r>
      <w:proofErr w:type="spellEnd"/>
      <w:r>
        <w:t xml:space="preserve"> </w:t>
      </w:r>
      <w:proofErr w:type="spellStart"/>
      <w:r>
        <w:t>Muthoka</w:t>
      </w:r>
      <w:proofErr w:type="spellEnd"/>
    </w:p>
    <w:p w14:paraId="3C6C2005" w14:textId="77777777" w:rsidR="00AF231A" w:rsidRDefault="00AF231A" w:rsidP="00AF231A"/>
    <w:p w14:paraId="6E866623" w14:textId="6B015D72" w:rsidR="00AF231A" w:rsidRDefault="000877C0" w:rsidP="00AF231A">
      <w:pPr>
        <w:rPr>
          <w:b/>
          <w:bCs/>
        </w:rPr>
      </w:pPr>
      <w:r>
        <w:rPr>
          <w:b/>
          <w:bCs/>
        </w:rPr>
        <w:t>Kenyan</w:t>
      </w:r>
      <w:r w:rsidR="00FF1508" w:rsidRPr="00FF1508">
        <w:rPr>
          <w:b/>
          <w:bCs/>
        </w:rPr>
        <w:t xml:space="preserve"> Macro Overview – </w:t>
      </w:r>
      <w:r w:rsidR="00F735DF">
        <w:rPr>
          <w:b/>
          <w:bCs/>
        </w:rPr>
        <w:t>Further Monetary Easing</w:t>
      </w:r>
    </w:p>
    <w:p w14:paraId="680560EB" w14:textId="77777777" w:rsidR="00FF1508" w:rsidRDefault="00FF1508" w:rsidP="00AF231A">
      <w:pPr>
        <w:rPr>
          <w:b/>
          <w:bCs/>
        </w:rPr>
      </w:pPr>
    </w:p>
    <w:p w14:paraId="2F829525" w14:textId="34A25C77" w:rsidR="000877C0" w:rsidRDefault="000877C0" w:rsidP="00AF231A">
      <w:r>
        <w:t xml:space="preserve">The month rolled to a close with relatively positive sentiments within the macroeconomic outlook. </w:t>
      </w:r>
    </w:p>
    <w:p w14:paraId="4E2148E2" w14:textId="77777777" w:rsidR="00F735DF" w:rsidRDefault="00F735DF" w:rsidP="00AF231A"/>
    <w:p w14:paraId="0D468A99" w14:textId="5A6F9879" w:rsidR="00F735DF" w:rsidRDefault="00F735DF" w:rsidP="00AF231A">
      <w:r>
        <w:t xml:space="preserve">The Central Bank’s Monetary Policy Committee lowered the Central Bank Rate by 25 basis points, to 9.5% from 9.75% in a bid to support private sector growth whilst balancing exchange rate stability and inflationary expectations. </w:t>
      </w:r>
    </w:p>
    <w:p w14:paraId="0BC80FC8" w14:textId="77777777" w:rsidR="000877C0" w:rsidRDefault="000877C0" w:rsidP="00AF231A"/>
    <w:p w14:paraId="00F90030" w14:textId="60B8EC4B" w:rsidR="000877C0" w:rsidRDefault="000877C0" w:rsidP="00AF231A">
      <w:r>
        <w:t xml:space="preserve">Inflation in the month came in at 4.5%, an increase from 4.1% noted in July, remaining below the mid-point target range of </w:t>
      </w:r>
      <w:r w:rsidRPr="000877C0">
        <w:t>5±2.5</w:t>
      </w:r>
      <w:r>
        <w:t>%. T</w:t>
      </w:r>
      <w:r w:rsidR="3CD286C3">
        <w:t>h</w:t>
      </w:r>
      <w:r>
        <w:t xml:space="preserve">is was influenced by a 10bps rise in core inflation, influenced by a rise in processed food items and a 100bps rise in non-core, influenced by an increase in energy prices, with overall inflation expected to be low in the near term. </w:t>
      </w:r>
    </w:p>
    <w:p w14:paraId="56EF1AAE" w14:textId="77777777" w:rsidR="000877C0" w:rsidRDefault="000877C0" w:rsidP="00AF231A"/>
    <w:p w14:paraId="49F24607" w14:textId="498AB404" w:rsidR="00D641D5" w:rsidRDefault="000877C0" w:rsidP="00AF231A">
      <w:r>
        <w:t xml:space="preserve">Foreign exchange reverses currency stands at USD 10,956 million, reflecting 4.8 months of import cover providing a solid buffer against external shocks and short-term domestic influences. </w:t>
      </w:r>
    </w:p>
    <w:p w14:paraId="25F3C81F" w14:textId="77777777" w:rsidR="00D641D5" w:rsidRDefault="00D641D5" w:rsidP="00AF231A"/>
    <w:p w14:paraId="372671D4" w14:textId="1F4D38A6" w:rsidR="00D641D5" w:rsidRPr="00D641D5" w:rsidRDefault="00D641D5" w:rsidP="00AF231A">
      <w:pPr>
        <w:rPr>
          <w:b/>
          <w:bCs/>
        </w:rPr>
      </w:pPr>
      <w:r w:rsidRPr="00D641D5">
        <w:rPr>
          <w:b/>
          <w:bCs/>
        </w:rPr>
        <w:t xml:space="preserve">Equities Commentary: </w:t>
      </w:r>
      <w:r w:rsidR="00F735DF">
        <w:rPr>
          <w:b/>
          <w:bCs/>
        </w:rPr>
        <w:t>Rally All The Way!</w:t>
      </w:r>
    </w:p>
    <w:p w14:paraId="78987562" w14:textId="77777777" w:rsidR="00D641D5" w:rsidRDefault="00D641D5" w:rsidP="00AF231A"/>
    <w:p w14:paraId="340E6776" w14:textId="77777777" w:rsidR="000877C0" w:rsidRDefault="000877C0" w:rsidP="000877C0">
      <w:r>
        <w:t xml:space="preserve">The Nairobi All Share Index (NASI) was up 10.23% in the month of August, and up 41.89% year-to-date, as equities continue to rally in the prevailing low-interest rate environment. Securities across the board hit new 52-week highs with some securities noting triple digit growth on a year-to-date basis, such as NSE, </w:t>
      </w:r>
      <w:proofErr w:type="spellStart"/>
      <w:r>
        <w:t>Kengen</w:t>
      </w:r>
      <w:proofErr w:type="spellEnd"/>
      <w:r>
        <w:t xml:space="preserve"> among other counters. </w:t>
      </w:r>
    </w:p>
    <w:p w14:paraId="61D14344" w14:textId="77777777" w:rsidR="000877C0" w:rsidRDefault="000877C0" w:rsidP="000877C0"/>
    <w:p w14:paraId="1EA7C2B7" w14:textId="77777777" w:rsidR="000877C0" w:rsidRDefault="000877C0" w:rsidP="00AF231A">
      <w:r w:rsidRPr="000877C0">
        <w:t>The banking sector is navigating a challenging low-interest rate environment, with several major institutions reporting</w:t>
      </w:r>
      <w:r>
        <w:t xml:space="preserve"> </w:t>
      </w:r>
      <w:r w:rsidRPr="000877C0">
        <w:t>compressed interest income despite improved operational metrics. Standard Chartered saw total interest income</w:t>
      </w:r>
      <w:r>
        <w:t xml:space="preserve"> </w:t>
      </w:r>
      <w:r w:rsidRPr="000877C0">
        <w:t>drop from Sh19.2 billion to Sh17.2 billion year-over-year, while Absa experienced an 18.2% decline in loan interest</w:t>
      </w:r>
      <w:r>
        <w:t xml:space="preserve"> </w:t>
      </w:r>
      <w:r w:rsidRPr="000877C0">
        <w:t>income to Sh22.4 billion, reflecting the sector-wide impact of Central Bank Rate reductions from 13% to 9.5%.</w:t>
      </w:r>
    </w:p>
    <w:p w14:paraId="17899B18" w14:textId="77777777" w:rsidR="000877C0" w:rsidRDefault="000877C0" w:rsidP="00AF231A"/>
    <w:p w14:paraId="1193E094" w14:textId="150F950E" w:rsidR="000877C0" w:rsidRDefault="000877C0" w:rsidP="00AF231A">
      <w:r w:rsidRPr="000877C0">
        <w:t>However, banks are adapting by reducing funding costs and pivoting toward private sector lending, with Equity Group</w:t>
      </w:r>
      <w:r>
        <w:t xml:space="preserve"> </w:t>
      </w:r>
      <w:r w:rsidRPr="000877C0">
        <w:t>planning to reduce government securities exposure from Sh540 billion to Sh75 billion to redeploy capital into higher-margin retail and SME lending at rates around 16% compared to 8% government paper yields.</w:t>
      </w:r>
    </w:p>
    <w:p w14:paraId="5988D929" w14:textId="77777777" w:rsidR="000877C0" w:rsidRDefault="000877C0" w:rsidP="00AF231A"/>
    <w:p w14:paraId="41C804B1" w14:textId="77777777" w:rsidR="000877C0" w:rsidRDefault="000877C0" w:rsidP="000877C0">
      <w:r>
        <w:t xml:space="preserve">The Government of Kenya noted the upcoming listing of the Kenya Pipeline Company out of its privatization agenda, with a 65% stake sale that could boost the Nairobi Securities Exchange market capitalization by over </w:t>
      </w:r>
      <w:proofErr w:type="spellStart"/>
      <w:r>
        <w:t>Kes</w:t>
      </w:r>
      <w:proofErr w:type="spellEnd"/>
      <w:r>
        <w:t xml:space="preserve"> 500 billion. </w:t>
      </w:r>
    </w:p>
    <w:p w14:paraId="11D4CA9C" w14:textId="77777777" w:rsidR="00803872" w:rsidRDefault="00803872" w:rsidP="00AF231A"/>
    <w:p w14:paraId="152866C8" w14:textId="77777777" w:rsidR="00803872" w:rsidRDefault="00803872" w:rsidP="00AF231A"/>
    <w:p w14:paraId="584BC598" w14:textId="1344156D" w:rsidR="00803872" w:rsidRDefault="00803872" w:rsidP="00AF231A">
      <w:pPr>
        <w:rPr>
          <w:b/>
          <w:bCs/>
        </w:rPr>
      </w:pPr>
      <w:r w:rsidRPr="00803872">
        <w:rPr>
          <w:b/>
          <w:bCs/>
        </w:rPr>
        <w:t xml:space="preserve">Fixed Income – </w:t>
      </w:r>
      <w:r w:rsidR="004738A2">
        <w:rPr>
          <w:b/>
          <w:bCs/>
        </w:rPr>
        <w:t>Improving Environment</w:t>
      </w:r>
    </w:p>
    <w:p w14:paraId="7687FF9E" w14:textId="77777777" w:rsidR="00803872" w:rsidRDefault="00803872" w:rsidP="00AF231A">
      <w:pPr>
        <w:rPr>
          <w:b/>
          <w:bCs/>
        </w:rPr>
      </w:pPr>
    </w:p>
    <w:p w14:paraId="76511F57" w14:textId="71AAFF78" w:rsidR="00803872" w:rsidRDefault="000877C0" w:rsidP="00803872">
      <w:r>
        <w:t xml:space="preserve">Kenya’s sovereign debt profile </w:t>
      </w:r>
      <w:r w:rsidRPr="000877C0">
        <w:t>improved significantly following Standard &amp; Poor's credit rating upgrade from 'B-' to 'B'</w:t>
      </w:r>
      <w:r>
        <w:t xml:space="preserve"> </w:t>
      </w:r>
      <w:r w:rsidRPr="000877C0">
        <w:t>with a stable outlook, triggering yield declines across all seven outstanding Eurobond tranches. The most notable</w:t>
      </w:r>
      <w:r>
        <w:t xml:space="preserve"> </w:t>
      </w:r>
      <w:r w:rsidRPr="000877C0">
        <w:t>improvement occurred in the $1 billion 10-year bond issued in 2018, with yields falling from 7.42% to 6.86%, now trading</w:t>
      </w:r>
      <w:r>
        <w:t xml:space="preserve"> </w:t>
      </w:r>
      <w:r w:rsidRPr="000877C0">
        <w:t>below its 7.25% coupon rate.</w:t>
      </w:r>
    </w:p>
    <w:p w14:paraId="384F9831" w14:textId="77777777" w:rsidR="00803872" w:rsidRDefault="00803872" w:rsidP="00803872"/>
    <w:p w14:paraId="476BD286" w14:textId="77777777" w:rsidR="001D28FD" w:rsidRDefault="001D28FD" w:rsidP="00AF231A"/>
    <w:p w14:paraId="37BDB9BA" w14:textId="37F746D4" w:rsidR="001D28FD" w:rsidRDefault="000877C0" w:rsidP="00AF231A">
      <w:r>
        <w:t xml:space="preserve">Treasury Bills remained fairly stable, with the 91-day, 182-day &amp; 364-day yields at 8.006%, 8.287% and 9.573% respectively vs 8.111%, 8.410% and 9.718% respectively in the month of July. </w:t>
      </w:r>
    </w:p>
    <w:p w14:paraId="54321927" w14:textId="77777777" w:rsidR="000877C0" w:rsidRDefault="000877C0" w:rsidP="00AF231A"/>
    <w:p w14:paraId="3A890D23" w14:textId="77777777" w:rsidR="000877C0" w:rsidRDefault="000877C0" w:rsidP="00AF231A">
      <w:r>
        <w:t xml:space="preserve">The CBK reopened two infrastructure bonds, the IFB1/2018/015 and IFB1/2022/019c, seeking to raise KES 90 billion, which were oversubscribed at 359%, due to the attractive, tax-free nature of the securities. This was followed by a tap sale of </w:t>
      </w:r>
      <w:proofErr w:type="spellStart"/>
      <w:r>
        <w:t>Kes</w:t>
      </w:r>
      <w:proofErr w:type="spellEnd"/>
      <w:r>
        <w:t xml:space="preserve"> 50Bn, which were oversubscribed as well.</w:t>
      </w:r>
    </w:p>
    <w:p w14:paraId="75FD9753" w14:textId="77777777" w:rsidR="000877C0" w:rsidRDefault="000877C0" w:rsidP="00AF231A"/>
    <w:p w14:paraId="75B54D68" w14:textId="6905010F" w:rsidR="000877C0" w:rsidRDefault="000877C0" w:rsidP="00AF231A">
      <w:r>
        <w:t xml:space="preserve">Overall, fixed income assets are seeing strong demand with yields above inflation supporting investor returns, whilst fiscal deficits and debt remain key risks affecting the overall outlook.  </w:t>
      </w:r>
    </w:p>
    <w:p w14:paraId="273A92FA" w14:textId="77777777" w:rsidR="000760B0" w:rsidRDefault="000760B0" w:rsidP="001D28FD">
      <w:pPr>
        <w:rPr>
          <w:b/>
          <w:bCs/>
        </w:rPr>
      </w:pPr>
    </w:p>
    <w:p w14:paraId="6BCF05AE" w14:textId="77777777" w:rsidR="000760B0" w:rsidRDefault="000760B0" w:rsidP="001D28FD">
      <w:pPr>
        <w:rPr>
          <w:b/>
          <w:bCs/>
        </w:rPr>
      </w:pPr>
    </w:p>
    <w:p w14:paraId="7757A1FC" w14:textId="7C0E0105" w:rsidR="000760B0" w:rsidRDefault="000760B0" w:rsidP="001D28FD">
      <w:pPr>
        <w:rPr>
          <w:b/>
          <w:bCs/>
        </w:rPr>
      </w:pPr>
      <w:r>
        <w:rPr>
          <w:b/>
          <w:bCs/>
        </w:rPr>
        <w:t>Looking Forward into September</w:t>
      </w:r>
    </w:p>
    <w:p w14:paraId="3F1EF428" w14:textId="77777777" w:rsidR="000760B0" w:rsidRDefault="000760B0" w:rsidP="001D28FD">
      <w:pPr>
        <w:rPr>
          <w:b/>
          <w:bCs/>
        </w:rPr>
      </w:pPr>
    </w:p>
    <w:p w14:paraId="1DFA6F0E" w14:textId="77777777" w:rsidR="000877C0" w:rsidRDefault="000877C0" w:rsidP="001D28FD">
      <w:r>
        <w:t xml:space="preserve">September’s outlook remains cautiously optimistic, amidst domestic and global uncertainties. </w:t>
      </w:r>
    </w:p>
    <w:p w14:paraId="6002AD1F" w14:textId="77777777" w:rsidR="000877C0" w:rsidRDefault="000877C0" w:rsidP="001D28FD"/>
    <w:p w14:paraId="6C4CCB27" w14:textId="2B831D2A" w:rsidR="000877C0" w:rsidRDefault="000877C0" w:rsidP="001D28FD">
      <w:r>
        <w:t xml:space="preserve">Growth is expected to be supported by improved credit uptake as prompted by the monetary easing experienced, with fundamental risks remain from volatile global trade tensions and constrained public investment from fiscal deficits. </w:t>
      </w:r>
    </w:p>
    <w:p w14:paraId="67D85B2D" w14:textId="77777777" w:rsidR="000877C0" w:rsidRDefault="000877C0" w:rsidP="001D28FD"/>
    <w:p w14:paraId="32F3947F" w14:textId="2EF4EEE9" w:rsidR="000760B0" w:rsidRDefault="000877C0" w:rsidP="001D28FD">
      <w:r>
        <w:t xml:space="preserve">Equities continue to remain favourable into the remaining months as foreign investors continue to record net inflows, with favourable valuations and dividend payments. </w:t>
      </w:r>
    </w:p>
    <w:p w14:paraId="371D4A75" w14:textId="77777777" w:rsidR="000760B0" w:rsidRDefault="000760B0" w:rsidP="001D28FD"/>
    <w:p w14:paraId="6CCA554E" w14:textId="77777777" w:rsidR="000760B0" w:rsidRDefault="000760B0" w:rsidP="000760B0"/>
    <w:p w14:paraId="16C4C84E" w14:textId="77777777" w:rsidR="001D28FD" w:rsidRPr="001D28FD" w:rsidRDefault="001D28FD" w:rsidP="001D28FD"/>
    <w:sectPr w:rsidR="001D28FD" w:rsidRPr="001D28FD" w:rsidSect="00AF231A">
      <w:pgSz w:w="11906" w:h="16838"/>
      <w:pgMar w:top="720" w:right="720" w:bottom="720" w:left="72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entury Gothic">
    <w:altName w:val="Calibri"/>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notTrueType/>
    <w:pitch w:val="variable"/>
    <w:sig w:usb0="20000287" w:usb1="00000003" w:usb2="00000000" w:usb3="00000000" w:csb0="0000019F" w:csb1="00000000"/>
  </w:font>
  <w:font w:name="Yu Mincho">
    <w:altName w:val="游明朝"/>
    <w:panose1 w:val="02020400000000000000"/>
    <w:charset w:val="80"/>
    <w:family w:val="roman"/>
    <w:notTrueType/>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64421"/>
    <w:multiLevelType w:val="hybridMultilevel"/>
    <w:tmpl w:val="AC2A5B3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7940AF"/>
    <w:multiLevelType w:val="hybridMultilevel"/>
    <w:tmpl w:val="645488B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7F94101"/>
    <w:multiLevelType w:val="hybridMultilevel"/>
    <w:tmpl w:val="01BCD51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61017136">
    <w:abstractNumId w:val="2"/>
  </w:num>
  <w:num w:numId="2" w16cid:durableId="1573269496">
    <w:abstractNumId w:val="0"/>
  </w:num>
  <w:num w:numId="3" w16cid:durableId="785661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67"/>
  <w:proofState w:spelling="clean" w:grammar="clean"/>
  <w:revisionView w:inkAnnotation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31A"/>
    <w:rsid w:val="000760B0"/>
    <w:rsid w:val="000877C0"/>
    <w:rsid w:val="001D28FD"/>
    <w:rsid w:val="004127EB"/>
    <w:rsid w:val="0045584A"/>
    <w:rsid w:val="004738A2"/>
    <w:rsid w:val="004D0DEA"/>
    <w:rsid w:val="005923FF"/>
    <w:rsid w:val="005D7A61"/>
    <w:rsid w:val="005E74D6"/>
    <w:rsid w:val="00706557"/>
    <w:rsid w:val="00803872"/>
    <w:rsid w:val="00833CF5"/>
    <w:rsid w:val="008534F9"/>
    <w:rsid w:val="00885B11"/>
    <w:rsid w:val="00923EDE"/>
    <w:rsid w:val="009A54DB"/>
    <w:rsid w:val="00A842FA"/>
    <w:rsid w:val="00A8545D"/>
    <w:rsid w:val="00AF231A"/>
    <w:rsid w:val="00CD2BCC"/>
    <w:rsid w:val="00D05E6B"/>
    <w:rsid w:val="00D634E8"/>
    <w:rsid w:val="00D641D5"/>
    <w:rsid w:val="00DE3019"/>
    <w:rsid w:val="00EB6555"/>
    <w:rsid w:val="00F10796"/>
    <w:rsid w:val="00F735DF"/>
    <w:rsid w:val="00FC39D4"/>
    <w:rsid w:val="00FF1508"/>
    <w:rsid w:val="3CD286C3"/>
    <w:rsid w:val="74EBFA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2C0A3B21"/>
  <w15:chartTrackingRefBased/>
  <w15:docId w15:val="{9934BDC9-31C9-4D5B-8B79-18BC08FFB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231A"/>
    <w:pPr>
      <w:spacing w:after="0" w:line="240" w:lineRule="auto"/>
      <w:jc w:val="both"/>
    </w:pPr>
    <w:rPr>
      <w:rFonts w:ascii="Aptos" w:hAnsi="Aptos"/>
    </w:rPr>
  </w:style>
  <w:style w:type="paragraph" w:styleId="Heading1">
    <w:name w:val="heading 1"/>
    <w:basedOn w:val="Normal"/>
    <w:next w:val="Normal"/>
    <w:link w:val="Heading1Char"/>
    <w:uiPriority w:val="9"/>
    <w:qFormat/>
    <w:rsid w:val="00AF231A"/>
    <w:pPr>
      <w:keepNext/>
      <w:keepLines/>
      <w:spacing w:before="120" w:after="120"/>
      <w:outlineLvl w:val="0"/>
    </w:pPr>
    <w:rPr>
      <w:rFonts w:ascii="Century Gothic" w:eastAsiaTheme="majorEastAsia" w:hAnsi="Century Gothic" w:cstheme="majorBidi"/>
      <w:color w:val="172C3E"/>
      <w:sz w:val="36"/>
      <w:szCs w:val="40"/>
    </w:rPr>
  </w:style>
  <w:style w:type="paragraph" w:styleId="Heading2">
    <w:name w:val="heading 2"/>
    <w:basedOn w:val="Normal"/>
    <w:next w:val="Normal"/>
    <w:link w:val="Heading2Char"/>
    <w:uiPriority w:val="9"/>
    <w:semiHidden/>
    <w:unhideWhenUsed/>
    <w:qFormat/>
    <w:rsid w:val="00AF23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F23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F23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F23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F231A"/>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231A"/>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231A"/>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231A"/>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31A"/>
    <w:rPr>
      <w:rFonts w:ascii="Century Gothic" w:eastAsiaTheme="majorEastAsia" w:hAnsi="Century Gothic" w:cstheme="majorBidi"/>
      <w:color w:val="172C3E"/>
      <w:sz w:val="36"/>
      <w:szCs w:val="40"/>
    </w:rPr>
  </w:style>
  <w:style w:type="character" w:customStyle="1" w:styleId="Heading2Char">
    <w:name w:val="Heading 2 Char"/>
    <w:basedOn w:val="DefaultParagraphFont"/>
    <w:link w:val="Heading2"/>
    <w:uiPriority w:val="9"/>
    <w:semiHidden/>
    <w:rsid w:val="00AF23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F23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F23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F23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F23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23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23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231A"/>
    <w:rPr>
      <w:rFonts w:eastAsiaTheme="majorEastAsia" w:cstheme="majorBidi"/>
      <w:color w:val="272727" w:themeColor="text1" w:themeTint="D8"/>
    </w:rPr>
  </w:style>
  <w:style w:type="paragraph" w:styleId="Title">
    <w:name w:val="Title"/>
    <w:basedOn w:val="Normal"/>
    <w:next w:val="Normal"/>
    <w:link w:val="TitleChar"/>
    <w:uiPriority w:val="10"/>
    <w:qFormat/>
    <w:rsid w:val="00AF231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23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23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23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231A"/>
    <w:pPr>
      <w:spacing w:before="160"/>
      <w:jc w:val="center"/>
    </w:pPr>
    <w:rPr>
      <w:i/>
      <w:iCs/>
      <w:color w:val="404040" w:themeColor="text1" w:themeTint="BF"/>
    </w:rPr>
  </w:style>
  <w:style w:type="character" w:customStyle="1" w:styleId="QuoteChar">
    <w:name w:val="Quote Char"/>
    <w:basedOn w:val="DefaultParagraphFont"/>
    <w:link w:val="Quote"/>
    <w:uiPriority w:val="29"/>
    <w:rsid w:val="00AF231A"/>
    <w:rPr>
      <w:i/>
      <w:iCs/>
      <w:color w:val="404040" w:themeColor="text1" w:themeTint="BF"/>
    </w:rPr>
  </w:style>
  <w:style w:type="paragraph" w:styleId="ListParagraph">
    <w:name w:val="List Paragraph"/>
    <w:basedOn w:val="Normal"/>
    <w:uiPriority w:val="34"/>
    <w:qFormat/>
    <w:rsid w:val="00AF231A"/>
    <w:pPr>
      <w:ind w:left="720"/>
      <w:contextualSpacing/>
    </w:pPr>
  </w:style>
  <w:style w:type="character" w:styleId="IntenseEmphasis">
    <w:name w:val="Intense Emphasis"/>
    <w:basedOn w:val="DefaultParagraphFont"/>
    <w:uiPriority w:val="21"/>
    <w:qFormat/>
    <w:rsid w:val="00AF231A"/>
    <w:rPr>
      <w:i/>
      <w:iCs/>
      <w:color w:val="0F4761" w:themeColor="accent1" w:themeShade="BF"/>
    </w:rPr>
  </w:style>
  <w:style w:type="paragraph" w:styleId="IntenseQuote">
    <w:name w:val="Intense Quote"/>
    <w:basedOn w:val="Normal"/>
    <w:next w:val="Normal"/>
    <w:link w:val="IntenseQuoteChar"/>
    <w:uiPriority w:val="30"/>
    <w:qFormat/>
    <w:rsid w:val="00AF23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F231A"/>
    <w:rPr>
      <w:i/>
      <w:iCs/>
      <w:color w:val="0F4761" w:themeColor="accent1" w:themeShade="BF"/>
    </w:rPr>
  </w:style>
  <w:style w:type="character" w:styleId="IntenseReference">
    <w:name w:val="Intense Reference"/>
    <w:basedOn w:val="DefaultParagraphFont"/>
    <w:uiPriority w:val="32"/>
    <w:qFormat/>
    <w:rsid w:val="00AF231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3" Type="http://schemas.openxmlformats.org/officeDocument/2006/relationships/customXml" Target="../customXml/item3.xml" /><Relationship Id="rId7" Type="http://schemas.openxmlformats.org/officeDocument/2006/relationships/settings" Target="settings.xml" /><Relationship Id="rId2" Type="http://schemas.openxmlformats.org/officeDocument/2006/relationships/customXml" Target="../customXml/item2.xml" /><Relationship Id="rId1" Type="http://schemas.openxmlformats.org/officeDocument/2006/relationships/customXml" Target="../customXml/item1.xml" /><Relationship Id="rId6" Type="http://schemas.openxmlformats.org/officeDocument/2006/relationships/styles" Target="styles.xml" /><Relationship Id="rId5" Type="http://schemas.openxmlformats.org/officeDocument/2006/relationships/numbering" Target="numbering.xml" /><Relationship Id="rId10" Type="http://schemas.openxmlformats.org/officeDocument/2006/relationships/theme" Target="theme/theme1.xml" /><Relationship Id="rId4" Type="http://schemas.openxmlformats.org/officeDocument/2006/relationships/customXml" Target="../customXml/item4.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AE143E847CE45B0CF2FC7D6F617D6" ma:contentTypeVersion="18" ma:contentTypeDescription="Create a new document." ma:contentTypeScope="" ma:versionID="8e736325a863e454b1c0e91e23efcb4c">
  <xsd:schema xmlns:xsd="http://www.w3.org/2001/XMLSchema" xmlns:xs="http://www.w3.org/2001/XMLSchema" xmlns:p="http://schemas.microsoft.com/office/2006/metadata/properties" xmlns:ns2="ecc24472-2d68-4b0e-ad83-10849db491ef" xmlns:ns3="cfbcdeb4-874f-4053-9479-5046ca9738b6" targetNamespace="http://schemas.microsoft.com/office/2006/metadata/properties" ma:root="true" ma:fieldsID="0ce9bf1b252b0713a4dc47def992d1d9" ns2:_="" ns3:_="">
    <xsd:import namespace="ecc24472-2d68-4b0e-ad83-10849db491ef"/>
    <xsd:import namespace="cfbcdeb4-874f-4053-9479-5046ca9738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2:SharedWithUsers" minOccurs="0"/>
                <xsd:element ref="ns2:SharedWithDetails" minOccurs="0"/>
                <xsd:element ref="ns3:MediaServiceAutoKeyPoints" minOccurs="0"/>
                <xsd:element ref="ns3:MediaServiceKeyPoints" minOccurs="0"/>
                <xsd:element ref="ns3:MediaLengthInSeconds" minOccurs="0"/>
                <xsd:element ref="ns3:MediaServiceObjectDetectorVersions" minOccurs="0"/>
                <xsd:element ref="ns3:lcf76f155ced4ddcb4097134ff3c332f" minOccurs="0"/>
                <xsd:element ref="ns2:TaxCatchAll"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c24472-2d68-4b0e-ad83-10849db491e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f8c4f8c8-544e-4c5c-85f2-0f002aedb7fe}" ma:internalName="TaxCatchAll" ma:showField="CatchAllData" ma:web="ecc24472-2d68-4b0e-ad83-10849db491e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fbcdeb4-874f-4053-9479-5046ca9738b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d426179-8bd7-44bc-b2a2-39db7330a20a" ma:termSetId="09814cd3-568e-fe90-9814-8d621ff8fb84" ma:anchorId="fba54fb3-c3e1-fe81-a776-ca4b69148c4d" ma:open="true" ma:isKeyword="false">
      <xsd:complexType>
        <xsd:sequence>
          <xsd:element ref="pc:Terms" minOccurs="0" maxOccurs="1"/>
        </xsd:sequence>
      </xsd:complex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cc24472-2d68-4b0e-ad83-10849db491ef" xsi:nil="true"/>
    <lcf76f155ced4ddcb4097134ff3c332f xmlns="cfbcdeb4-874f-4053-9479-5046ca9738b6">
      <Terms xmlns="http://schemas.microsoft.com/office/infopath/2007/PartnerControls"/>
    </lcf76f155ced4ddcb4097134ff3c332f>
    <_dlc_DocId xmlns="ecc24472-2d68-4b0e-ad83-10849db491ef">KA3W23DXNYHK-1465239417-40895</_dlc_DocId>
    <_dlc_DocIdUrl xmlns="ecc24472-2d68-4b0e-ad83-10849db491ef">
      <Url>https://centumbusiness.sharepoint.com/sites/nabo/_layouts/15/DocIdRedir.aspx?ID=KA3W23DXNYHK-1465239417-40895</Url>
      <Description>KA3W23DXNYHK-1465239417-40895</Description>
    </_dlc_DocIdUrl>
  </documentManagement>
</p:properties>
</file>

<file path=customXml/itemProps1.xml><?xml version="1.0" encoding="utf-8"?>
<ds:datastoreItem xmlns:ds="http://schemas.openxmlformats.org/officeDocument/2006/customXml" ds:itemID="{FFB476B4-9BD9-418E-9BF9-8FC02876ED67}">
  <ds:schemaRefs>
    <ds:schemaRef ds:uri="http://schemas.microsoft.com/office/2006/metadata/contentType"/>
    <ds:schemaRef ds:uri="http://schemas.microsoft.com/office/2006/metadata/properties/metaAttributes"/>
    <ds:schemaRef ds:uri="http://www.w3.org/2000/xmlns/"/>
    <ds:schemaRef ds:uri="http://www.w3.org/2001/XMLSchema"/>
    <ds:schemaRef ds:uri="ecc24472-2d68-4b0e-ad83-10849db491ef"/>
    <ds:schemaRef ds:uri="cfbcdeb4-874f-4053-9479-5046ca9738b6"/>
  </ds:schemaRefs>
</ds:datastoreItem>
</file>

<file path=customXml/itemProps2.xml><?xml version="1.0" encoding="utf-8"?>
<ds:datastoreItem xmlns:ds="http://schemas.openxmlformats.org/officeDocument/2006/customXml" ds:itemID="{EF98A7C0-65EE-4BB8-8CEC-D380E56F6DC8}">
  <ds:schemaRefs>
    <ds:schemaRef ds:uri="http://schemas.microsoft.com/sharepoint/events"/>
    <ds:schemaRef ds:uri="http://www.w3.org/2000/xmlns/"/>
  </ds:schemaRefs>
</ds:datastoreItem>
</file>

<file path=customXml/itemProps3.xml><?xml version="1.0" encoding="utf-8"?>
<ds:datastoreItem xmlns:ds="http://schemas.openxmlformats.org/officeDocument/2006/customXml" ds:itemID="{9766F7DC-0BDF-4BE5-AB6B-A88A6F49435E}">
  <ds:schemaRefs>
    <ds:schemaRef ds:uri="http://schemas.microsoft.com/sharepoint/v3/contenttype/forms"/>
  </ds:schemaRefs>
</ds:datastoreItem>
</file>

<file path=customXml/itemProps4.xml><?xml version="1.0" encoding="utf-8"?>
<ds:datastoreItem xmlns:ds="http://schemas.openxmlformats.org/officeDocument/2006/customXml" ds:itemID="{A2B81872-A0D6-4010-8BE2-B6812A85B40B}">
  <ds:schemaRefs>
    <ds:schemaRef ds:uri="http://schemas.microsoft.com/office/2006/metadata/properties"/>
    <ds:schemaRef ds:uri="http://www.w3.org/2000/xmlns/"/>
    <ds:schemaRef ds:uri="ecc24472-2d68-4b0e-ad83-10849db491ef"/>
    <ds:schemaRef ds:uri="http://www.w3.org/2001/XMLSchema-instance"/>
    <ds:schemaRef ds:uri="cfbcdeb4-874f-4053-9479-5046ca9738b6"/>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Tobiko Oidamae</dc:creator>
  <cp:keywords/>
  <dc:description/>
  <cp:lastModifiedBy>Lauryne Adhiambo</cp:lastModifiedBy>
  <cp:revision>2</cp:revision>
  <dcterms:created xsi:type="dcterms:W3CDTF">2025-09-11T12:21:00Z</dcterms:created>
  <dcterms:modified xsi:type="dcterms:W3CDTF">2025-09-11T12:21:00Z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0x0101002B6AE143E847CE45B0CF2FC7D6F617D6</vt:lpwstr>
  </property>
  <property fmtid="{D5CDD505-2E9C-101B-9397-08002B2CF9AE}" pid="3" name="_dlc_DocIdItemGuid">
    <vt:lpwstr>10fdf0f2-5534-4974-a133-92a30bd58ffb</vt:lpwstr>
  </property>
  <property fmtid="{D5CDD505-2E9C-101B-9397-08002B2CF9AE}" pid="4" name="MediaServiceImageTags">
    <vt:lpwstr/>
  </property>
</Properties>
</file>